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178E" w:rsidRPr="00C44E61" w:rsidRDefault="00E15C74" w:rsidP="00D027C1">
      <w:pPr>
        <w:spacing w:line="360" w:lineRule="auto"/>
        <w:jc w:val="both"/>
        <w:rPr>
          <w:rFonts w:ascii="Times New Roman" w:hAnsi="Times New Roman" w:cs="Times New Roman"/>
          <w:b/>
        </w:rPr>
      </w:pPr>
      <w:r w:rsidRPr="00C44E61">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C44E61">
        <w:trPr>
          <w:trHeight w:val="977"/>
        </w:trPr>
        <w:tc>
          <w:tcPr>
            <w:tcW w:w="3062" w:type="dxa"/>
          </w:tcPr>
          <w:p w:rsidR="00BA178E" w:rsidRPr="00C44E61" w:rsidRDefault="00E15C74" w:rsidP="00D027C1">
            <w:pPr>
              <w:spacing w:line="360" w:lineRule="auto"/>
              <w:jc w:val="both"/>
              <w:rPr>
                <w:rFonts w:ascii="Times New Roman" w:hAnsi="Times New Roman" w:cs="Times New Roman"/>
                <w:b/>
                <w:bCs/>
              </w:rPr>
            </w:pPr>
            <w:r w:rsidRPr="00C44E61">
              <w:rPr>
                <w:rFonts w:ascii="Times New Roman" w:hAnsi="Times New Roman" w:cs="Times New Roman"/>
                <w:b/>
                <w:bCs/>
              </w:rPr>
              <w:t>Article Number:</w:t>
            </w:r>
          </w:p>
          <w:p w:rsidR="00BA178E" w:rsidRPr="00C44E61" w:rsidRDefault="00E701FA" w:rsidP="00D027C1">
            <w:pPr>
              <w:spacing w:line="360" w:lineRule="auto"/>
              <w:jc w:val="both"/>
              <w:rPr>
                <w:rFonts w:ascii="Times New Roman" w:hAnsi="Times New Roman" w:cs="Times New Roman"/>
                <w:b/>
              </w:rPr>
            </w:pPr>
            <w:bookmarkStart w:id="0" w:name="_GoBack"/>
            <w:r w:rsidRPr="00E701FA">
              <w:rPr>
                <w:rFonts w:ascii="Times New Roman" w:hAnsi="Times New Roman" w:cs="Times New Roman"/>
                <w:b/>
              </w:rPr>
              <w:t>JBB-2930</w:t>
            </w:r>
            <w:bookmarkEnd w:id="0"/>
          </w:p>
        </w:tc>
        <w:tc>
          <w:tcPr>
            <w:tcW w:w="3600" w:type="dxa"/>
          </w:tcPr>
          <w:p w:rsidR="00BA178E" w:rsidRPr="00C44E61" w:rsidRDefault="00E15C74" w:rsidP="00D027C1">
            <w:pPr>
              <w:autoSpaceDE w:val="0"/>
              <w:autoSpaceDN w:val="0"/>
              <w:adjustRightInd w:val="0"/>
              <w:spacing w:after="0" w:line="360" w:lineRule="auto"/>
              <w:jc w:val="both"/>
              <w:rPr>
                <w:rFonts w:ascii="Times New Roman" w:hAnsi="Times New Roman" w:cs="Times New Roman"/>
                <w:b/>
                <w:bCs/>
                <w:lang w:val="en-GB"/>
              </w:rPr>
            </w:pPr>
            <w:r w:rsidRPr="00C44E61">
              <w:rPr>
                <w:rFonts w:ascii="Times New Roman" w:hAnsi="Times New Roman" w:cs="Times New Roman"/>
                <w:b/>
                <w:bCs/>
                <w:lang w:val="en-GB"/>
              </w:rPr>
              <w:t>Author Name</w:t>
            </w:r>
          </w:p>
          <w:p w:rsidR="00BA178E" w:rsidRPr="00C44E61" w:rsidRDefault="00BA178E" w:rsidP="00D027C1">
            <w:pPr>
              <w:autoSpaceDE w:val="0"/>
              <w:autoSpaceDN w:val="0"/>
              <w:adjustRightInd w:val="0"/>
              <w:spacing w:after="0" w:line="360" w:lineRule="auto"/>
              <w:jc w:val="both"/>
              <w:rPr>
                <w:rFonts w:ascii="Times New Roman" w:hAnsi="Times New Roman" w:cs="Times New Roman"/>
                <w:b/>
              </w:rPr>
            </w:pPr>
          </w:p>
          <w:p w:rsidR="00BA178E" w:rsidRPr="00C44E61" w:rsidRDefault="00E701FA" w:rsidP="00D027C1">
            <w:pPr>
              <w:autoSpaceDE w:val="0"/>
              <w:autoSpaceDN w:val="0"/>
              <w:adjustRightInd w:val="0"/>
              <w:spacing w:after="0" w:line="360" w:lineRule="auto"/>
              <w:jc w:val="both"/>
              <w:rPr>
                <w:rFonts w:ascii="Times New Roman" w:hAnsi="Times New Roman" w:cs="Times New Roman"/>
                <w:b/>
                <w:bCs/>
                <w:lang w:val="en-GB"/>
              </w:rPr>
            </w:pPr>
            <w:r w:rsidRPr="00E701FA">
              <w:rPr>
                <w:rFonts w:ascii="Times New Roman" w:hAnsi="Times New Roman" w:cs="Times New Roman"/>
                <w:b/>
                <w:bCs/>
                <w:lang w:val="en-GB"/>
              </w:rPr>
              <w:t>RAMESH R</w:t>
            </w:r>
          </w:p>
        </w:tc>
        <w:tc>
          <w:tcPr>
            <w:tcW w:w="3443" w:type="dxa"/>
          </w:tcPr>
          <w:p w:rsidR="00BA178E" w:rsidRPr="00C44E61" w:rsidRDefault="00E15C74" w:rsidP="00D027C1">
            <w:pPr>
              <w:spacing w:line="360" w:lineRule="auto"/>
              <w:jc w:val="both"/>
              <w:rPr>
                <w:rFonts w:ascii="Times New Roman" w:hAnsi="Times New Roman" w:cs="Times New Roman"/>
              </w:rPr>
            </w:pPr>
            <w:r w:rsidRPr="00C44E61">
              <w:rPr>
                <w:rFonts w:ascii="Times New Roman" w:hAnsi="Times New Roman" w:cs="Times New Roman"/>
              </w:rPr>
              <w:t xml:space="preserve"> </w:t>
            </w:r>
          </w:p>
        </w:tc>
      </w:tr>
      <w:tr w:rsidR="00BA178E" w:rsidRPr="00C44E61">
        <w:trPr>
          <w:trHeight w:val="413"/>
        </w:trPr>
        <w:tc>
          <w:tcPr>
            <w:tcW w:w="3062" w:type="dxa"/>
            <w:vAlign w:val="center"/>
          </w:tcPr>
          <w:p w:rsidR="00BA178E" w:rsidRPr="00C44E61" w:rsidRDefault="00E15C74" w:rsidP="00D027C1">
            <w:pPr>
              <w:spacing w:line="360" w:lineRule="auto"/>
              <w:jc w:val="both"/>
              <w:rPr>
                <w:rFonts w:ascii="Times New Roman" w:hAnsi="Times New Roman" w:cs="Times New Roman"/>
              </w:rPr>
            </w:pPr>
            <w:r w:rsidRPr="00C44E61">
              <w:rPr>
                <w:rFonts w:ascii="Times New Roman" w:hAnsi="Times New Roman" w:cs="Times New Roman"/>
              </w:rPr>
              <w:t>Accept</w:t>
            </w:r>
          </w:p>
        </w:tc>
        <w:tc>
          <w:tcPr>
            <w:tcW w:w="3600" w:type="dxa"/>
            <w:vAlign w:val="center"/>
          </w:tcPr>
          <w:p w:rsidR="00BA178E" w:rsidRPr="00C44E61" w:rsidRDefault="00E15C74" w:rsidP="00D027C1">
            <w:pPr>
              <w:pStyle w:val="ListParagraph"/>
              <w:numPr>
                <w:ilvl w:val="0"/>
                <w:numId w:val="1"/>
              </w:numPr>
              <w:spacing w:line="360" w:lineRule="auto"/>
              <w:jc w:val="both"/>
              <w:rPr>
                <w:rFonts w:ascii="Times New Roman" w:hAnsi="Times New Roman" w:cs="Times New Roman"/>
                <w:b/>
              </w:rPr>
            </w:pPr>
            <w:r w:rsidRPr="00C44E61">
              <w:rPr>
                <w:rFonts w:ascii="Times New Roman" w:hAnsi="Times New Roman" w:cs="Times New Roman"/>
                <w:b/>
              </w:rPr>
              <w:t>Minor Revision</w:t>
            </w:r>
          </w:p>
        </w:tc>
        <w:tc>
          <w:tcPr>
            <w:tcW w:w="3443" w:type="dxa"/>
            <w:vAlign w:val="center"/>
          </w:tcPr>
          <w:p w:rsidR="00BA178E" w:rsidRPr="00594E3E" w:rsidRDefault="00E15C74" w:rsidP="00594E3E">
            <w:pPr>
              <w:spacing w:line="360" w:lineRule="auto"/>
              <w:jc w:val="both"/>
              <w:rPr>
                <w:rFonts w:ascii="Times New Roman" w:hAnsi="Times New Roman" w:cs="Times New Roman"/>
              </w:rPr>
            </w:pPr>
            <w:r w:rsidRPr="00594E3E">
              <w:rPr>
                <w:rFonts w:ascii="Times New Roman" w:hAnsi="Times New Roman" w:cs="Times New Roman"/>
              </w:rPr>
              <w:t>Major Revision</w:t>
            </w:r>
          </w:p>
        </w:tc>
      </w:tr>
      <w:tr w:rsidR="00BA178E" w:rsidRPr="00C44E61">
        <w:trPr>
          <w:trHeight w:val="440"/>
        </w:trPr>
        <w:tc>
          <w:tcPr>
            <w:tcW w:w="3062" w:type="dxa"/>
            <w:vAlign w:val="center"/>
          </w:tcPr>
          <w:p w:rsidR="00BA178E" w:rsidRPr="00C44E61" w:rsidRDefault="00E15C74" w:rsidP="00D027C1">
            <w:pPr>
              <w:spacing w:line="360" w:lineRule="auto"/>
              <w:jc w:val="both"/>
              <w:rPr>
                <w:rFonts w:ascii="Times New Roman" w:hAnsi="Times New Roman" w:cs="Times New Roman"/>
              </w:rPr>
            </w:pPr>
            <w:r w:rsidRPr="00C44E61">
              <w:rPr>
                <w:rFonts w:ascii="Times New Roman" w:hAnsi="Times New Roman" w:cs="Times New Roman"/>
              </w:rPr>
              <w:t>Reject</w:t>
            </w:r>
          </w:p>
        </w:tc>
        <w:tc>
          <w:tcPr>
            <w:tcW w:w="3600" w:type="dxa"/>
            <w:vAlign w:val="center"/>
          </w:tcPr>
          <w:p w:rsidR="00BA178E" w:rsidRPr="00C44E61" w:rsidRDefault="00E15C74" w:rsidP="00D027C1">
            <w:pPr>
              <w:spacing w:line="360" w:lineRule="auto"/>
              <w:jc w:val="both"/>
              <w:rPr>
                <w:rFonts w:ascii="Times New Roman" w:hAnsi="Times New Roman" w:cs="Times New Roman"/>
              </w:rPr>
            </w:pPr>
            <w:r w:rsidRPr="00C44E61">
              <w:rPr>
                <w:rFonts w:ascii="Times New Roman" w:hAnsi="Times New Roman" w:cs="Times New Roman"/>
              </w:rPr>
              <w:t>Re-revision</w:t>
            </w:r>
          </w:p>
        </w:tc>
        <w:tc>
          <w:tcPr>
            <w:tcW w:w="3443" w:type="dxa"/>
            <w:vAlign w:val="center"/>
          </w:tcPr>
          <w:p w:rsidR="00BA178E" w:rsidRPr="00C44E61" w:rsidRDefault="00E15C74" w:rsidP="00D027C1">
            <w:pPr>
              <w:spacing w:line="360" w:lineRule="auto"/>
              <w:jc w:val="both"/>
              <w:rPr>
                <w:rFonts w:ascii="Times New Roman" w:hAnsi="Times New Roman" w:cs="Times New Roman"/>
              </w:rPr>
            </w:pPr>
            <w:r w:rsidRPr="00C44E61">
              <w:rPr>
                <w:rFonts w:ascii="Times New Roman" w:hAnsi="Times New Roman" w:cs="Times New Roman"/>
              </w:rPr>
              <w:t>Poor Quality</w:t>
            </w:r>
          </w:p>
        </w:tc>
      </w:tr>
      <w:tr w:rsidR="00BA178E" w:rsidRPr="00C44E61">
        <w:trPr>
          <w:trHeight w:val="2240"/>
        </w:trPr>
        <w:tc>
          <w:tcPr>
            <w:tcW w:w="10105" w:type="dxa"/>
            <w:gridSpan w:val="3"/>
          </w:tcPr>
          <w:p w:rsidR="00AA7B07" w:rsidRPr="00C44E61" w:rsidRDefault="00E15C74" w:rsidP="00D027C1">
            <w:pPr>
              <w:spacing w:line="360" w:lineRule="auto"/>
              <w:jc w:val="both"/>
              <w:rPr>
                <w:rFonts w:ascii="Times New Roman" w:eastAsia="Times New Roman" w:hAnsi="Times New Roman" w:cs="Times New Roman"/>
                <w:b/>
                <w:bCs/>
                <w:shd w:val="clear" w:color="auto" w:fill="FFFFFF"/>
                <w:lang w:val="en-IN" w:eastAsia="en-IN"/>
              </w:rPr>
            </w:pPr>
            <w:r w:rsidRPr="00C44E61">
              <w:rPr>
                <w:rFonts w:ascii="Times New Roman" w:eastAsia="Times New Roman" w:hAnsi="Times New Roman" w:cs="Times New Roman"/>
                <w:b/>
                <w:bCs/>
                <w:shd w:val="clear" w:color="auto" w:fill="FFFFFF"/>
                <w:lang w:val="en-IN" w:eastAsia="en-IN"/>
              </w:rPr>
              <w:t>Title:</w:t>
            </w:r>
            <w:r w:rsidR="003E65F1" w:rsidRPr="00C44E61">
              <w:rPr>
                <w:rFonts w:ascii="Times New Roman" w:eastAsia="Times New Roman" w:hAnsi="Times New Roman" w:cs="Times New Roman"/>
                <w:b/>
                <w:bCs/>
                <w:shd w:val="clear" w:color="auto" w:fill="FFFFFF"/>
                <w:lang w:val="en-IN" w:eastAsia="en-IN"/>
              </w:rPr>
              <w:t xml:space="preserve"> </w:t>
            </w:r>
            <w:r w:rsidR="00E701FA" w:rsidRPr="00E701FA">
              <w:rPr>
                <w:rFonts w:ascii="Times New Roman" w:eastAsia="Times New Roman" w:hAnsi="Times New Roman" w:cs="Times New Roman"/>
                <w:b/>
                <w:bCs/>
                <w:shd w:val="clear" w:color="auto" w:fill="FFFFFF"/>
                <w:lang w:val="en-IN" w:eastAsia="en-IN"/>
              </w:rPr>
              <w:t>Evaluation of Bio-efficacy of Bacillus subtilis based bio-fungicide (</w:t>
            </w:r>
            <w:proofErr w:type="spellStart"/>
            <w:r w:rsidR="00E701FA" w:rsidRPr="00E701FA">
              <w:rPr>
                <w:rFonts w:ascii="Times New Roman" w:eastAsia="Times New Roman" w:hAnsi="Times New Roman" w:cs="Times New Roman"/>
                <w:b/>
                <w:bCs/>
                <w:shd w:val="clear" w:color="auto" w:fill="FFFFFF"/>
                <w:lang w:val="en-IN" w:eastAsia="en-IN"/>
              </w:rPr>
              <w:t>Taegro</w:t>
            </w:r>
            <w:proofErr w:type="spellEnd"/>
            <w:r w:rsidR="00E701FA" w:rsidRPr="00E701FA">
              <w:rPr>
                <w:rFonts w:ascii="Times New Roman" w:eastAsia="Times New Roman" w:hAnsi="Times New Roman" w:cs="Times New Roman"/>
                <w:b/>
                <w:bCs/>
                <w:shd w:val="clear" w:color="auto" w:fill="FFFFFF"/>
                <w:lang w:val="en-IN" w:eastAsia="en-IN"/>
              </w:rPr>
              <w:t>) against powdery mildew disease of Grapes</w:t>
            </w:r>
          </w:p>
          <w:p w:rsidR="00E701FA" w:rsidRDefault="00E15C74" w:rsidP="00E701FA">
            <w:pPr>
              <w:spacing w:line="360" w:lineRule="auto"/>
              <w:jc w:val="both"/>
              <w:rPr>
                <w:rFonts w:ascii="Times New Roman" w:hAnsi="Times New Roman" w:cs="Times New Roman"/>
              </w:rPr>
            </w:pPr>
            <w:r w:rsidRPr="00C44E61">
              <w:rPr>
                <w:rFonts w:ascii="Times New Roman" w:eastAsia="Times New Roman" w:hAnsi="Times New Roman" w:cs="Times New Roman"/>
                <w:bCs/>
                <w:shd w:val="clear" w:color="auto" w:fill="FFFFFF"/>
                <w:lang w:val="en-IN" w:eastAsia="en-IN"/>
              </w:rPr>
              <w:t>General Comments from Reviewer</w:t>
            </w:r>
            <w:r w:rsidRPr="00C44E61">
              <w:rPr>
                <w:rFonts w:ascii="Times New Roman" w:hAnsi="Times New Roman" w:cs="Times New Roman"/>
              </w:rPr>
              <w:t xml:space="preserve">: </w:t>
            </w:r>
            <w:r w:rsidR="009121B9" w:rsidRPr="00C44E61">
              <w:rPr>
                <w:rFonts w:ascii="Times New Roman" w:hAnsi="Times New Roman" w:cs="Times New Roman"/>
              </w:rPr>
              <w:t>-</w:t>
            </w:r>
            <w:r w:rsidR="000C4B93" w:rsidRPr="00C44E61">
              <w:rPr>
                <w:rFonts w:ascii="Times New Roman" w:hAnsi="Times New Roman" w:cs="Times New Roman"/>
              </w:rPr>
              <w:t xml:space="preserve"> </w:t>
            </w:r>
            <w:r w:rsidR="00E701FA" w:rsidRPr="00E701FA">
              <w:rPr>
                <w:rFonts w:ascii="Times New Roman" w:hAnsi="Times New Roman" w:cs="Times New Roman"/>
              </w:rPr>
              <w:t>This manuscript presents a valuable and timely study on the evaluation of Bacillus subtilis-based bio-fungicide (</w:t>
            </w:r>
            <w:proofErr w:type="spellStart"/>
            <w:r w:rsidR="00E701FA" w:rsidRPr="00E701FA">
              <w:rPr>
                <w:rFonts w:ascii="Times New Roman" w:hAnsi="Times New Roman" w:cs="Times New Roman"/>
              </w:rPr>
              <w:t>Taegro</w:t>
            </w:r>
            <w:proofErr w:type="spellEnd"/>
            <w:r w:rsidR="00E701FA" w:rsidRPr="00E701FA">
              <w:rPr>
                <w:rFonts w:ascii="Times New Roman" w:hAnsi="Times New Roman" w:cs="Times New Roman"/>
              </w:rPr>
              <w:t>) as a sustainable alternative to chemical fungicides for managing powdery mildew in grapes. The experimental design is sound, and the findings contribute meaningfully to integrated disease management strategies. With thorough revision, especially in grammar, result interpretation, and formatting, the study holds strong potential for publication and practical application in viticulture.</w:t>
            </w:r>
          </w:p>
          <w:p w:rsidR="00E701FA" w:rsidRPr="00E701FA" w:rsidRDefault="00E701FA" w:rsidP="00E701FA">
            <w:pPr>
              <w:pStyle w:val="ListParagraph"/>
              <w:numPr>
                <w:ilvl w:val="0"/>
                <w:numId w:val="4"/>
              </w:numPr>
              <w:spacing w:line="360" w:lineRule="auto"/>
              <w:jc w:val="both"/>
              <w:rPr>
                <w:rFonts w:ascii="Times New Roman" w:eastAsia="Times New Roman" w:hAnsi="Times New Roman" w:cs="Times New Roman"/>
                <w:bCs/>
                <w:shd w:val="clear" w:color="auto" w:fill="FFFFFF"/>
                <w:lang w:val="en-IN" w:eastAsia="en-IN"/>
              </w:rPr>
            </w:pPr>
            <w:r w:rsidRPr="00E701FA">
              <w:rPr>
                <w:rFonts w:ascii="Times New Roman" w:eastAsia="Times New Roman" w:hAnsi="Times New Roman" w:cs="Times New Roman"/>
                <w:bCs/>
                <w:shd w:val="clear" w:color="auto" w:fill="FFFFFF"/>
                <w:lang w:val="en-IN" w:eastAsia="en-IN"/>
              </w:rPr>
              <w:t>The introduction provides a good background on grapevine cultivation, its importance in India, and the threat posed by powdery mildew. It references multiple studies and historical context, helping to set the stage for the research.</w:t>
            </w:r>
          </w:p>
          <w:p w:rsidR="00E701FA" w:rsidRPr="00E701FA" w:rsidRDefault="00E701FA" w:rsidP="00E701FA">
            <w:pPr>
              <w:pStyle w:val="ListParagraph"/>
              <w:numPr>
                <w:ilvl w:val="0"/>
                <w:numId w:val="4"/>
              </w:numPr>
              <w:spacing w:line="360" w:lineRule="auto"/>
              <w:jc w:val="both"/>
              <w:rPr>
                <w:rFonts w:ascii="Times New Roman" w:eastAsia="Times New Roman" w:hAnsi="Times New Roman" w:cs="Times New Roman"/>
                <w:bCs/>
                <w:shd w:val="clear" w:color="auto" w:fill="FFFFFF"/>
                <w:lang w:val="en-IN" w:eastAsia="en-IN"/>
              </w:rPr>
            </w:pPr>
            <w:r w:rsidRPr="00E701FA">
              <w:rPr>
                <w:rFonts w:ascii="Times New Roman" w:eastAsia="Times New Roman" w:hAnsi="Times New Roman" w:cs="Times New Roman"/>
                <w:bCs/>
                <w:shd w:val="clear" w:color="auto" w:fill="FFFFFF"/>
                <w:lang w:val="en-IN" w:eastAsia="en-IN"/>
              </w:rPr>
              <w:t xml:space="preserve">The Material &amp; Methods section provides a clear explanation of the experimental setup, including treatments, layout (randomized block design), and evaluation scale (Horsfall and </w:t>
            </w:r>
            <w:proofErr w:type="spellStart"/>
            <w:r w:rsidRPr="00E701FA">
              <w:rPr>
                <w:rFonts w:ascii="Times New Roman" w:eastAsia="Times New Roman" w:hAnsi="Times New Roman" w:cs="Times New Roman"/>
                <w:bCs/>
                <w:shd w:val="clear" w:color="auto" w:fill="FFFFFF"/>
                <w:lang w:val="en-IN" w:eastAsia="en-IN"/>
              </w:rPr>
              <w:t>Heuberger</w:t>
            </w:r>
            <w:proofErr w:type="spellEnd"/>
            <w:r w:rsidRPr="00E701FA">
              <w:rPr>
                <w:rFonts w:ascii="Times New Roman" w:eastAsia="Times New Roman" w:hAnsi="Times New Roman" w:cs="Times New Roman"/>
                <w:bCs/>
                <w:shd w:val="clear" w:color="auto" w:fill="FFFFFF"/>
                <w:lang w:val="en-IN" w:eastAsia="en-IN"/>
              </w:rPr>
              <w:t xml:space="preserve">). </w:t>
            </w:r>
          </w:p>
          <w:p w:rsidR="00E701FA" w:rsidRPr="00E701FA" w:rsidRDefault="00E701FA" w:rsidP="00E701FA">
            <w:pPr>
              <w:pStyle w:val="ListParagraph"/>
              <w:numPr>
                <w:ilvl w:val="0"/>
                <w:numId w:val="4"/>
              </w:numPr>
              <w:spacing w:line="360" w:lineRule="auto"/>
              <w:jc w:val="both"/>
              <w:rPr>
                <w:rFonts w:ascii="Times New Roman" w:eastAsia="Times New Roman" w:hAnsi="Times New Roman" w:cs="Times New Roman"/>
                <w:bCs/>
                <w:shd w:val="clear" w:color="auto" w:fill="FFFFFF"/>
                <w:lang w:val="en-IN" w:eastAsia="en-IN"/>
              </w:rPr>
            </w:pPr>
            <w:r w:rsidRPr="00E701FA">
              <w:rPr>
                <w:rFonts w:ascii="Times New Roman" w:eastAsia="Times New Roman" w:hAnsi="Times New Roman" w:cs="Times New Roman"/>
                <w:bCs/>
                <w:shd w:val="clear" w:color="auto" w:fill="FFFFFF"/>
                <w:lang w:val="en-IN" w:eastAsia="en-IN"/>
              </w:rPr>
              <w:t xml:space="preserve">Separate the results and discussion for better clarity. Provide a more in-depth interpretation of why certain treatments performed better (e.g., mode of action of B. subtilis). Reduce repetitive wording and emphasize the statistical significance of differences. </w:t>
            </w:r>
          </w:p>
          <w:p w:rsidR="00E701FA" w:rsidRPr="00E701FA" w:rsidRDefault="00E701FA" w:rsidP="00E701FA">
            <w:pPr>
              <w:pStyle w:val="ListParagraph"/>
              <w:numPr>
                <w:ilvl w:val="0"/>
                <w:numId w:val="4"/>
              </w:numPr>
              <w:spacing w:line="360" w:lineRule="auto"/>
              <w:jc w:val="both"/>
              <w:rPr>
                <w:rFonts w:ascii="Times New Roman" w:eastAsia="Times New Roman" w:hAnsi="Times New Roman" w:cs="Times New Roman"/>
                <w:bCs/>
                <w:shd w:val="clear" w:color="auto" w:fill="FFFFFF"/>
                <w:lang w:val="en-IN" w:eastAsia="en-IN"/>
              </w:rPr>
            </w:pPr>
            <w:r w:rsidRPr="00E701FA">
              <w:rPr>
                <w:rFonts w:ascii="Times New Roman" w:eastAsia="Times New Roman" w:hAnsi="Times New Roman" w:cs="Times New Roman"/>
                <w:bCs/>
                <w:shd w:val="clear" w:color="auto" w:fill="FFFFFF"/>
                <w:lang w:val="en-IN" w:eastAsia="en-IN"/>
              </w:rPr>
              <w:t>Table 1 contains comprehensive data on disease incidence, reduction percentage, and productivity. It provides a complete comparison of treatments.</w:t>
            </w:r>
            <w:r>
              <w:t xml:space="preserve"> </w:t>
            </w:r>
            <w:r w:rsidRPr="00E701FA">
              <w:rPr>
                <w:rFonts w:ascii="Times New Roman" w:eastAsia="Times New Roman" w:hAnsi="Times New Roman" w:cs="Times New Roman"/>
                <w:bCs/>
                <w:shd w:val="clear" w:color="auto" w:fill="FFFFFF"/>
                <w:lang w:val="en-IN" w:eastAsia="en-IN"/>
              </w:rPr>
              <w:t>Improve the formatting of the table for readability. Add clearer footnotes to explain abbreviations (e.g., A-H spray sequences). Highlight statistically significant values and ensure alignment is clean. Include at least one figure (e.g., bar graph) to visually represent key data trends.</w:t>
            </w:r>
          </w:p>
          <w:p w:rsidR="00E701FA" w:rsidRPr="00E701FA" w:rsidRDefault="00E701FA" w:rsidP="00E701FA">
            <w:pPr>
              <w:pStyle w:val="ListParagraph"/>
              <w:numPr>
                <w:ilvl w:val="0"/>
                <w:numId w:val="4"/>
              </w:numPr>
              <w:spacing w:line="360" w:lineRule="auto"/>
              <w:jc w:val="both"/>
              <w:rPr>
                <w:rFonts w:ascii="Times New Roman" w:eastAsia="Times New Roman" w:hAnsi="Times New Roman" w:cs="Times New Roman"/>
                <w:bCs/>
                <w:shd w:val="clear" w:color="auto" w:fill="FFFFFF"/>
                <w:lang w:val="en-IN" w:eastAsia="en-IN"/>
              </w:rPr>
            </w:pPr>
            <w:r w:rsidRPr="00E701FA">
              <w:rPr>
                <w:rFonts w:ascii="Times New Roman" w:eastAsia="Times New Roman" w:hAnsi="Times New Roman" w:cs="Times New Roman"/>
                <w:bCs/>
                <w:shd w:val="clear" w:color="auto" w:fill="FFFFFF"/>
                <w:lang w:val="en-IN" w:eastAsia="en-IN"/>
              </w:rPr>
              <w:t>Make the conclusion more concise and impactful. Clearly state the practical implications for grape growers, especially under low vs. high disease pressure. Mention any limitations and suggest directions for future research (e.g., multi-year trials, economic analysis).</w:t>
            </w:r>
          </w:p>
          <w:p w:rsidR="00BA178E" w:rsidRPr="00594E3E" w:rsidRDefault="00E15C74" w:rsidP="00E701FA">
            <w:pPr>
              <w:spacing w:line="360" w:lineRule="auto"/>
              <w:jc w:val="both"/>
              <w:rPr>
                <w:rFonts w:ascii="Times New Roman" w:hAnsi="Times New Roman" w:cs="Times New Roman"/>
              </w:rPr>
            </w:pPr>
            <w:r w:rsidRPr="00594E3E">
              <w:rPr>
                <w:rFonts w:ascii="Times New Roman" w:eastAsia="Times New Roman" w:hAnsi="Times New Roman" w:cs="Times New Roman"/>
                <w:bCs/>
                <w:shd w:val="clear" w:color="auto" w:fill="FFFFFF"/>
                <w:lang w:val="en-IN" w:eastAsia="en-IN"/>
              </w:rPr>
              <w:t>The article can be published after m</w:t>
            </w:r>
            <w:r w:rsidR="001477CF" w:rsidRPr="00594E3E">
              <w:rPr>
                <w:rFonts w:ascii="Times New Roman" w:eastAsia="Times New Roman" w:hAnsi="Times New Roman" w:cs="Times New Roman"/>
                <w:bCs/>
                <w:shd w:val="clear" w:color="auto" w:fill="FFFFFF"/>
                <w:lang w:val="en-IN" w:eastAsia="en-IN"/>
              </w:rPr>
              <w:t>ajor</w:t>
            </w:r>
            <w:r w:rsidRPr="00594E3E">
              <w:rPr>
                <w:rFonts w:ascii="Times New Roman" w:eastAsia="Times New Roman" w:hAnsi="Times New Roman" w:cs="Times New Roman"/>
                <w:bCs/>
                <w:shd w:val="clear" w:color="auto" w:fill="FFFFFF"/>
                <w:lang w:val="en-IN" w:eastAsia="en-IN"/>
              </w:rPr>
              <w:t xml:space="preserve"> revision.</w:t>
            </w:r>
          </w:p>
        </w:tc>
      </w:tr>
    </w:tbl>
    <w:p w:rsidR="00BA178E" w:rsidRPr="00C44E61" w:rsidRDefault="00BA178E" w:rsidP="00D027C1">
      <w:pPr>
        <w:spacing w:line="360" w:lineRule="auto"/>
        <w:jc w:val="both"/>
        <w:rPr>
          <w:rFonts w:ascii="Times New Roman" w:hAnsi="Times New Roman" w:cs="Times New Roman"/>
        </w:rPr>
      </w:pPr>
    </w:p>
    <w:sectPr w:rsidR="00BA178E" w:rsidRPr="00C44E6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4C83" w:rsidRDefault="004C4C83">
      <w:pPr>
        <w:spacing w:line="240" w:lineRule="auto"/>
      </w:pPr>
      <w:r>
        <w:separator/>
      </w:r>
    </w:p>
  </w:endnote>
  <w:endnote w:type="continuationSeparator" w:id="0">
    <w:p w:rsidR="004C4C83" w:rsidRDefault="004C4C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4C83" w:rsidRDefault="004C4C83">
      <w:pPr>
        <w:spacing w:after="0"/>
      </w:pPr>
      <w:r>
        <w:separator/>
      </w:r>
    </w:p>
  </w:footnote>
  <w:footnote w:type="continuationSeparator" w:id="0">
    <w:p w:rsidR="004C4C83" w:rsidRDefault="004C4C8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5E33"/>
    <w:multiLevelType w:val="multilevel"/>
    <w:tmpl w:val="017A5E33"/>
    <w:lvl w:ilvl="0">
      <w:start w:val="1"/>
      <w:numFmt w:val="bullet"/>
      <w:lvlText w:val=""/>
      <w:lvlJc w:val="left"/>
      <w:pPr>
        <w:ind w:left="720" w:hanging="360"/>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436945B7"/>
    <w:multiLevelType w:val="hybridMultilevel"/>
    <w:tmpl w:val="737CC4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59776869"/>
    <w:multiLevelType w:val="hybridMultilevel"/>
    <w:tmpl w:val="9F588D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7426318D"/>
    <w:multiLevelType w:val="hybridMultilevel"/>
    <w:tmpl w:val="41166C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88"/>
    <w:rsid w:val="000001ED"/>
    <w:rsid w:val="00001423"/>
    <w:rsid w:val="00002F23"/>
    <w:rsid w:val="00003D23"/>
    <w:rsid w:val="0000548D"/>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6B41"/>
    <w:rsid w:val="000776F5"/>
    <w:rsid w:val="00077C4D"/>
    <w:rsid w:val="000804F7"/>
    <w:rsid w:val="00080E09"/>
    <w:rsid w:val="000817B5"/>
    <w:rsid w:val="00081E85"/>
    <w:rsid w:val="000820CE"/>
    <w:rsid w:val="000825EC"/>
    <w:rsid w:val="00083DE8"/>
    <w:rsid w:val="000844E1"/>
    <w:rsid w:val="00086DA5"/>
    <w:rsid w:val="000901AD"/>
    <w:rsid w:val="000916ED"/>
    <w:rsid w:val="0009380B"/>
    <w:rsid w:val="0009417C"/>
    <w:rsid w:val="00095572"/>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C4B93"/>
    <w:rsid w:val="000D3542"/>
    <w:rsid w:val="000D3C18"/>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3B8A"/>
    <w:rsid w:val="00105156"/>
    <w:rsid w:val="00105782"/>
    <w:rsid w:val="00106900"/>
    <w:rsid w:val="00107020"/>
    <w:rsid w:val="00107589"/>
    <w:rsid w:val="00111354"/>
    <w:rsid w:val="001115FB"/>
    <w:rsid w:val="00112BA6"/>
    <w:rsid w:val="00115536"/>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5852"/>
    <w:rsid w:val="00136301"/>
    <w:rsid w:val="00136306"/>
    <w:rsid w:val="00136D61"/>
    <w:rsid w:val="001375A8"/>
    <w:rsid w:val="00137641"/>
    <w:rsid w:val="00140858"/>
    <w:rsid w:val="00145DA8"/>
    <w:rsid w:val="001465B5"/>
    <w:rsid w:val="00146BD2"/>
    <w:rsid w:val="001477C2"/>
    <w:rsid w:val="001477CF"/>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6A99"/>
    <w:rsid w:val="00196D32"/>
    <w:rsid w:val="00197B92"/>
    <w:rsid w:val="001A1FEA"/>
    <w:rsid w:val="001A38EB"/>
    <w:rsid w:val="001A5365"/>
    <w:rsid w:val="001A53D6"/>
    <w:rsid w:val="001B466B"/>
    <w:rsid w:val="001B609F"/>
    <w:rsid w:val="001B69A2"/>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2C44"/>
    <w:rsid w:val="00203216"/>
    <w:rsid w:val="00203A39"/>
    <w:rsid w:val="00204CB2"/>
    <w:rsid w:val="002056FB"/>
    <w:rsid w:val="00207921"/>
    <w:rsid w:val="00212022"/>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227F"/>
    <w:rsid w:val="00263012"/>
    <w:rsid w:val="0026366C"/>
    <w:rsid w:val="002659D2"/>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5986"/>
    <w:rsid w:val="002B7028"/>
    <w:rsid w:val="002C2387"/>
    <w:rsid w:val="002C49E7"/>
    <w:rsid w:val="002C6625"/>
    <w:rsid w:val="002D0A93"/>
    <w:rsid w:val="002D0D1F"/>
    <w:rsid w:val="002D3B09"/>
    <w:rsid w:val="002D3B97"/>
    <w:rsid w:val="002D3E26"/>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133A"/>
    <w:rsid w:val="003229B2"/>
    <w:rsid w:val="00323572"/>
    <w:rsid w:val="00325814"/>
    <w:rsid w:val="00325C41"/>
    <w:rsid w:val="00330297"/>
    <w:rsid w:val="00330C8F"/>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848"/>
    <w:rsid w:val="00363186"/>
    <w:rsid w:val="003643AB"/>
    <w:rsid w:val="003653C6"/>
    <w:rsid w:val="00367FB9"/>
    <w:rsid w:val="00374443"/>
    <w:rsid w:val="003763F0"/>
    <w:rsid w:val="00377329"/>
    <w:rsid w:val="003810EE"/>
    <w:rsid w:val="00381640"/>
    <w:rsid w:val="00382309"/>
    <w:rsid w:val="0038499F"/>
    <w:rsid w:val="00384B5D"/>
    <w:rsid w:val="00391FEF"/>
    <w:rsid w:val="00395330"/>
    <w:rsid w:val="00395FC2"/>
    <w:rsid w:val="003A1E2D"/>
    <w:rsid w:val="003A21C6"/>
    <w:rsid w:val="003A47E2"/>
    <w:rsid w:val="003A5484"/>
    <w:rsid w:val="003A65C7"/>
    <w:rsid w:val="003A7C4F"/>
    <w:rsid w:val="003B2769"/>
    <w:rsid w:val="003B3B6C"/>
    <w:rsid w:val="003B4BDE"/>
    <w:rsid w:val="003C07DE"/>
    <w:rsid w:val="003C0C6F"/>
    <w:rsid w:val="003C1660"/>
    <w:rsid w:val="003C2DA4"/>
    <w:rsid w:val="003C3146"/>
    <w:rsid w:val="003C3E38"/>
    <w:rsid w:val="003C42FF"/>
    <w:rsid w:val="003C520D"/>
    <w:rsid w:val="003C6542"/>
    <w:rsid w:val="003D2BAF"/>
    <w:rsid w:val="003D4DBE"/>
    <w:rsid w:val="003D6D48"/>
    <w:rsid w:val="003E1603"/>
    <w:rsid w:val="003E3470"/>
    <w:rsid w:val="003E35C5"/>
    <w:rsid w:val="003E3E79"/>
    <w:rsid w:val="003E40DF"/>
    <w:rsid w:val="003E63CE"/>
    <w:rsid w:val="003E641A"/>
    <w:rsid w:val="003E65F1"/>
    <w:rsid w:val="003F14EA"/>
    <w:rsid w:val="003F4FD2"/>
    <w:rsid w:val="00400219"/>
    <w:rsid w:val="0040100D"/>
    <w:rsid w:val="00405713"/>
    <w:rsid w:val="00405B2A"/>
    <w:rsid w:val="00406062"/>
    <w:rsid w:val="00406A6F"/>
    <w:rsid w:val="004072F1"/>
    <w:rsid w:val="00410F6A"/>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4494"/>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5C4E"/>
    <w:rsid w:val="004A6239"/>
    <w:rsid w:val="004B0D2F"/>
    <w:rsid w:val="004B3536"/>
    <w:rsid w:val="004C1FD0"/>
    <w:rsid w:val="004C4C83"/>
    <w:rsid w:val="004C6967"/>
    <w:rsid w:val="004C7C9C"/>
    <w:rsid w:val="004D288A"/>
    <w:rsid w:val="004D2FD4"/>
    <w:rsid w:val="004D31F1"/>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7674"/>
    <w:rsid w:val="004F77C3"/>
    <w:rsid w:val="004F787B"/>
    <w:rsid w:val="004F7E12"/>
    <w:rsid w:val="00502851"/>
    <w:rsid w:val="005058B0"/>
    <w:rsid w:val="00507DC4"/>
    <w:rsid w:val="005116F8"/>
    <w:rsid w:val="0051278D"/>
    <w:rsid w:val="00513B0A"/>
    <w:rsid w:val="00514B4C"/>
    <w:rsid w:val="00515727"/>
    <w:rsid w:val="00517DEE"/>
    <w:rsid w:val="00521158"/>
    <w:rsid w:val="0052118B"/>
    <w:rsid w:val="00522AC7"/>
    <w:rsid w:val="00523161"/>
    <w:rsid w:val="0052366B"/>
    <w:rsid w:val="00525E08"/>
    <w:rsid w:val="00527526"/>
    <w:rsid w:val="00527645"/>
    <w:rsid w:val="00527685"/>
    <w:rsid w:val="005314B0"/>
    <w:rsid w:val="0053152F"/>
    <w:rsid w:val="00532AF9"/>
    <w:rsid w:val="00536703"/>
    <w:rsid w:val="005376EC"/>
    <w:rsid w:val="00540124"/>
    <w:rsid w:val="00540B9B"/>
    <w:rsid w:val="00540E60"/>
    <w:rsid w:val="00541238"/>
    <w:rsid w:val="00545A53"/>
    <w:rsid w:val="00551962"/>
    <w:rsid w:val="005527AD"/>
    <w:rsid w:val="00557E5D"/>
    <w:rsid w:val="00560084"/>
    <w:rsid w:val="00561856"/>
    <w:rsid w:val="005636D6"/>
    <w:rsid w:val="00563B90"/>
    <w:rsid w:val="005648DF"/>
    <w:rsid w:val="00564D7F"/>
    <w:rsid w:val="00564EF3"/>
    <w:rsid w:val="005731C2"/>
    <w:rsid w:val="0057359E"/>
    <w:rsid w:val="005749DC"/>
    <w:rsid w:val="00574CBB"/>
    <w:rsid w:val="00575594"/>
    <w:rsid w:val="00575C77"/>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4E3E"/>
    <w:rsid w:val="00595782"/>
    <w:rsid w:val="005963F8"/>
    <w:rsid w:val="005970DA"/>
    <w:rsid w:val="00597148"/>
    <w:rsid w:val="005A1BD0"/>
    <w:rsid w:val="005A310C"/>
    <w:rsid w:val="005A3240"/>
    <w:rsid w:val="005A4260"/>
    <w:rsid w:val="005A4408"/>
    <w:rsid w:val="005A5308"/>
    <w:rsid w:val="005A61C8"/>
    <w:rsid w:val="005A6CDC"/>
    <w:rsid w:val="005A72D6"/>
    <w:rsid w:val="005A7750"/>
    <w:rsid w:val="005A7ACE"/>
    <w:rsid w:val="005A7B32"/>
    <w:rsid w:val="005B0C51"/>
    <w:rsid w:val="005B1605"/>
    <w:rsid w:val="005B680D"/>
    <w:rsid w:val="005C079B"/>
    <w:rsid w:val="005C09BF"/>
    <w:rsid w:val="005C1091"/>
    <w:rsid w:val="005C355A"/>
    <w:rsid w:val="005C4E59"/>
    <w:rsid w:val="005C59E4"/>
    <w:rsid w:val="005C6119"/>
    <w:rsid w:val="005C61AC"/>
    <w:rsid w:val="005C6A2C"/>
    <w:rsid w:val="005D2ABA"/>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1617"/>
    <w:rsid w:val="005F1A62"/>
    <w:rsid w:val="005F30B9"/>
    <w:rsid w:val="005F3B93"/>
    <w:rsid w:val="005F3BA8"/>
    <w:rsid w:val="00600502"/>
    <w:rsid w:val="006019BB"/>
    <w:rsid w:val="0060372B"/>
    <w:rsid w:val="00603CAD"/>
    <w:rsid w:val="006048B6"/>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575E"/>
    <w:rsid w:val="006467E8"/>
    <w:rsid w:val="00647937"/>
    <w:rsid w:val="00647C6A"/>
    <w:rsid w:val="00651F0B"/>
    <w:rsid w:val="00652A7D"/>
    <w:rsid w:val="00653B8B"/>
    <w:rsid w:val="00653C47"/>
    <w:rsid w:val="00653DBF"/>
    <w:rsid w:val="00654530"/>
    <w:rsid w:val="00654B53"/>
    <w:rsid w:val="00655FCD"/>
    <w:rsid w:val="0065602E"/>
    <w:rsid w:val="00657559"/>
    <w:rsid w:val="00657987"/>
    <w:rsid w:val="006615CE"/>
    <w:rsid w:val="00661933"/>
    <w:rsid w:val="006662CC"/>
    <w:rsid w:val="00666432"/>
    <w:rsid w:val="006679E5"/>
    <w:rsid w:val="00670559"/>
    <w:rsid w:val="0067097D"/>
    <w:rsid w:val="006724B5"/>
    <w:rsid w:val="00673863"/>
    <w:rsid w:val="00673E26"/>
    <w:rsid w:val="006767C4"/>
    <w:rsid w:val="006767E9"/>
    <w:rsid w:val="006805DD"/>
    <w:rsid w:val="00680E0D"/>
    <w:rsid w:val="00684C8A"/>
    <w:rsid w:val="006866F8"/>
    <w:rsid w:val="00691914"/>
    <w:rsid w:val="00694802"/>
    <w:rsid w:val="00696F40"/>
    <w:rsid w:val="006A0AC2"/>
    <w:rsid w:val="006A1242"/>
    <w:rsid w:val="006A1E7E"/>
    <w:rsid w:val="006A33DC"/>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46F5"/>
    <w:rsid w:val="006C4A07"/>
    <w:rsid w:val="006D078A"/>
    <w:rsid w:val="006D1CAB"/>
    <w:rsid w:val="006D1E4A"/>
    <w:rsid w:val="006D2F34"/>
    <w:rsid w:val="006D4B00"/>
    <w:rsid w:val="006D5594"/>
    <w:rsid w:val="006D5A05"/>
    <w:rsid w:val="006D5D7A"/>
    <w:rsid w:val="006D73E0"/>
    <w:rsid w:val="006E155C"/>
    <w:rsid w:val="006E4F78"/>
    <w:rsid w:val="006F0643"/>
    <w:rsid w:val="006F3B31"/>
    <w:rsid w:val="006F6E13"/>
    <w:rsid w:val="006F7ADC"/>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1B0F"/>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978D1"/>
    <w:rsid w:val="007A0008"/>
    <w:rsid w:val="007A175F"/>
    <w:rsid w:val="007A4192"/>
    <w:rsid w:val="007A495E"/>
    <w:rsid w:val="007A515D"/>
    <w:rsid w:val="007A54E3"/>
    <w:rsid w:val="007A5976"/>
    <w:rsid w:val="007A5D0E"/>
    <w:rsid w:val="007A5D74"/>
    <w:rsid w:val="007A6FA1"/>
    <w:rsid w:val="007B4727"/>
    <w:rsid w:val="007B4BBB"/>
    <w:rsid w:val="007C0EB0"/>
    <w:rsid w:val="007C29EF"/>
    <w:rsid w:val="007C6BEE"/>
    <w:rsid w:val="007C6E37"/>
    <w:rsid w:val="007D0493"/>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7221"/>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EC9"/>
    <w:rsid w:val="009004B6"/>
    <w:rsid w:val="009010B6"/>
    <w:rsid w:val="00902966"/>
    <w:rsid w:val="00903CFC"/>
    <w:rsid w:val="00903E21"/>
    <w:rsid w:val="009062B5"/>
    <w:rsid w:val="00906541"/>
    <w:rsid w:val="009078AD"/>
    <w:rsid w:val="009108FB"/>
    <w:rsid w:val="00910C93"/>
    <w:rsid w:val="009121B9"/>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0A1"/>
    <w:rsid w:val="00934E13"/>
    <w:rsid w:val="009359DF"/>
    <w:rsid w:val="00937C69"/>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835"/>
    <w:rsid w:val="009719A0"/>
    <w:rsid w:val="00971C94"/>
    <w:rsid w:val="00971E6C"/>
    <w:rsid w:val="00971EFF"/>
    <w:rsid w:val="009727D7"/>
    <w:rsid w:val="00972F51"/>
    <w:rsid w:val="009769E9"/>
    <w:rsid w:val="00976D27"/>
    <w:rsid w:val="009779F3"/>
    <w:rsid w:val="009817FB"/>
    <w:rsid w:val="00982631"/>
    <w:rsid w:val="00982A3B"/>
    <w:rsid w:val="009830A5"/>
    <w:rsid w:val="00984117"/>
    <w:rsid w:val="00986AFD"/>
    <w:rsid w:val="0099018F"/>
    <w:rsid w:val="00992AB2"/>
    <w:rsid w:val="009931F4"/>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396"/>
    <w:rsid w:val="009B47E5"/>
    <w:rsid w:val="009B4875"/>
    <w:rsid w:val="009B5C84"/>
    <w:rsid w:val="009B6D14"/>
    <w:rsid w:val="009C0302"/>
    <w:rsid w:val="009C1976"/>
    <w:rsid w:val="009C3B36"/>
    <w:rsid w:val="009C571C"/>
    <w:rsid w:val="009C5D6C"/>
    <w:rsid w:val="009C72D3"/>
    <w:rsid w:val="009D50EB"/>
    <w:rsid w:val="009D584F"/>
    <w:rsid w:val="009E06CA"/>
    <w:rsid w:val="009E0E17"/>
    <w:rsid w:val="009E141B"/>
    <w:rsid w:val="009E142B"/>
    <w:rsid w:val="009E201C"/>
    <w:rsid w:val="009E66B8"/>
    <w:rsid w:val="009E6768"/>
    <w:rsid w:val="009E6A0F"/>
    <w:rsid w:val="009E6A7A"/>
    <w:rsid w:val="009F0723"/>
    <w:rsid w:val="009F18B7"/>
    <w:rsid w:val="009F1C8B"/>
    <w:rsid w:val="009F2DF4"/>
    <w:rsid w:val="009F460C"/>
    <w:rsid w:val="009F51A3"/>
    <w:rsid w:val="009F5BF1"/>
    <w:rsid w:val="009F5DE0"/>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37B8"/>
    <w:rsid w:val="00A34AA9"/>
    <w:rsid w:val="00A36A62"/>
    <w:rsid w:val="00A37588"/>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20B6"/>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1239"/>
    <w:rsid w:val="00B47AE6"/>
    <w:rsid w:val="00B51458"/>
    <w:rsid w:val="00B52C96"/>
    <w:rsid w:val="00B54DF5"/>
    <w:rsid w:val="00B5512A"/>
    <w:rsid w:val="00B56416"/>
    <w:rsid w:val="00B57067"/>
    <w:rsid w:val="00B57218"/>
    <w:rsid w:val="00B575D0"/>
    <w:rsid w:val="00B61C12"/>
    <w:rsid w:val="00B61CD0"/>
    <w:rsid w:val="00B6409D"/>
    <w:rsid w:val="00B6477F"/>
    <w:rsid w:val="00B667B9"/>
    <w:rsid w:val="00B66879"/>
    <w:rsid w:val="00B7157F"/>
    <w:rsid w:val="00B73CFD"/>
    <w:rsid w:val="00B74EFD"/>
    <w:rsid w:val="00B77468"/>
    <w:rsid w:val="00B803DC"/>
    <w:rsid w:val="00B8066A"/>
    <w:rsid w:val="00B818DC"/>
    <w:rsid w:val="00B8336B"/>
    <w:rsid w:val="00B83AF7"/>
    <w:rsid w:val="00B83D0D"/>
    <w:rsid w:val="00B8400E"/>
    <w:rsid w:val="00B84995"/>
    <w:rsid w:val="00B863F5"/>
    <w:rsid w:val="00B871AA"/>
    <w:rsid w:val="00B877C3"/>
    <w:rsid w:val="00B90F5A"/>
    <w:rsid w:val="00B91568"/>
    <w:rsid w:val="00B94026"/>
    <w:rsid w:val="00B95FB7"/>
    <w:rsid w:val="00B9684A"/>
    <w:rsid w:val="00B96E9F"/>
    <w:rsid w:val="00B97413"/>
    <w:rsid w:val="00BA13F9"/>
    <w:rsid w:val="00BA1436"/>
    <w:rsid w:val="00BA178E"/>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9C7"/>
    <w:rsid w:val="00BF0F76"/>
    <w:rsid w:val="00BF199D"/>
    <w:rsid w:val="00BF68C5"/>
    <w:rsid w:val="00BF72AF"/>
    <w:rsid w:val="00C0320B"/>
    <w:rsid w:val="00C069F3"/>
    <w:rsid w:val="00C10651"/>
    <w:rsid w:val="00C1082B"/>
    <w:rsid w:val="00C114AB"/>
    <w:rsid w:val="00C11AC0"/>
    <w:rsid w:val="00C125B3"/>
    <w:rsid w:val="00C12A12"/>
    <w:rsid w:val="00C15B5E"/>
    <w:rsid w:val="00C15C36"/>
    <w:rsid w:val="00C1677F"/>
    <w:rsid w:val="00C16DBD"/>
    <w:rsid w:val="00C17CE2"/>
    <w:rsid w:val="00C21D1D"/>
    <w:rsid w:val="00C242DB"/>
    <w:rsid w:val="00C24336"/>
    <w:rsid w:val="00C24704"/>
    <w:rsid w:val="00C247A2"/>
    <w:rsid w:val="00C24BA2"/>
    <w:rsid w:val="00C24C1D"/>
    <w:rsid w:val="00C25462"/>
    <w:rsid w:val="00C25977"/>
    <w:rsid w:val="00C2749C"/>
    <w:rsid w:val="00C275DC"/>
    <w:rsid w:val="00C304FC"/>
    <w:rsid w:val="00C31692"/>
    <w:rsid w:val="00C31E8A"/>
    <w:rsid w:val="00C3248D"/>
    <w:rsid w:val="00C34F2A"/>
    <w:rsid w:val="00C35218"/>
    <w:rsid w:val="00C35415"/>
    <w:rsid w:val="00C36A15"/>
    <w:rsid w:val="00C37441"/>
    <w:rsid w:val="00C375D7"/>
    <w:rsid w:val="00C42FEA"/>
    <w:rsid w:val="00C44E61"/>
    <w:rsid w:val="00C45FD8"/>
    <w:rsid w:val="00C4612A"/>
    <w:rsid w:val="00C46503"/>
    <w:rsid w:val="00C46EB1"/>
    <w:rsid w:val="00C50FD9"/>
    <w:rsid w:val="00C5151C"/>
    <w:rsid w:val="00C51DFB"/>
    <w:rsid w:val="00C54EE9"/>
    <w:rsid w:val="00C602F1"/>
    <w:rsid w:val="00C60A17"/>
    <w:rsid w:val="00C6152A"/>
    <w:rsid w:val="00C62C22"/>
    <w:rsid w:val="00C63048"/>
    <w:rsid w:val="00C635D0"/>
    <w:rsid w:val="00C647C3"/>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483A"/>
    <w:rsid w:val="00CA6140"/>
    <w:rsid w:val="00CA6799"/>
    <w:rsid w:val="00CA69A9"/>
    <w:rsid w:val="00CA6ABF"/>
    <w:rsid w:val="00CB012E"/>
    <w:rsid w:val="00CB0800"/>
    <w:rsid w:val="00CB53D9"/>
    <w:rsid w:val="00CB61CB"/>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CF7976"/>
    <w:rsid w:val="00D001A3"/>
    <w:rsid w:val="00D009EE"/>
    <w:rsid w:val="00D027C1"/>
    <w:rsid w:val="00D04009"/>
    <w:rsid w:val="00D0598A"/>
    <w:rsid w:val="00D05F29"/>
    <w:rsid w:val="00D06227"/>
    <w:rsid w:val="00D06917"/>
    <w:rsid w:val="00D11028"/>
    <w:rsid w:val="00D11800"/>
    <w:rsid w:val="00D1302D"/>
    <w:rsid w:val="00D139E0"/>
    <w:rsid w:val="00D13A7E"/>
    <w:rsid w:val="00D14BAF"/>
    <w:rsid w:val="00D154FB"/>
    <w:rsid w:val="00D155A9"/>
    <w:rsid w:val="00D15762"/>
    <w:rsid w:val="00D1644C"/>
    <w:rsid w:val="00D16B75"/>
    <w:rsid w:val="00D210DD"/>
    <w:rsid w:val="00D211DD"/>
    <w:rsid w:val="00D215C7"/>
    <w:rsid w:val="00D244DF"/>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4B26"/>
    <w:rsid w:val="00D75683"/>
    <w:rsid w:val="00D822D3"/>
    <w:rsid w:val="00D82757"/>
    <w:rsid w:val="00D8301E"/>
    <w:rsid w:val="00D83CAC"/>
    <w:rsid w:val="00D8492D"/>
    <w:rsid w:val="00D84AA4"/>
    <w:rsid w:val="00D8600D"/>
    <w:rsid w:val="00D92282"/>
    <w:rsid w:val="00D92A64"/>
    <w:rsid w:val="00D92F11"/>
    <w:rsid w:val="00D940FC"/>
    <w:rsid w:val="00D9547D"/>
    <w:rsid w:val="00DA5EC3"/>
    <w:rsid w:val="00DA5EE6"/>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1FD5"/>
    <w:rsid w:val="00DC2DE6"/>
    <w:rsid w:val="00DC4B1B"/>
    <w:rsid w:val="00DC5342"/>
    <w:rsid w:val="00DC5408"/>
    <w:rsid w:val="00DC6727"/>
    <w:rsid w:val="00DC6E61"/>
    <w:rsid w:val="00DC7693"/>
    <w:rsid w:val="00DD067A"/>
    <w:rsid w:val="00DD0EC9"/>
    <w:rsid w:val="00DD10E4"/>
    <w:rsid w:val="00DD5175"/>
    <w:rsid w:val="00DD6331"/>
    <w:rsid w:val="00DD6B57"/>
    <w:rsid w:val="00DD6F7C"/>
    <w:rsid w:val="00DD7711"/>
    <w:rsid w:val="00DE00B0"/>
    <w:rsid w:val="00DE0323"/>
    <w:rsid w:val="00DE1583"/>
    <w:rsid w:val="00DE24E6"/>
    <w:rsid w:val="00DE303D"/>
    <w:rsid w:val="00DE356E"/>
    <w:rsid w:val="00DE5488"/>
    <w:rsid w:val="00DE6463"/>
    <w:rsid w:val="00DE676C"/>
    <w:rsid w:val="00DE7459"/>
    <w:rsid w:val="00DF08AC"/>
    <w:rsid w:val="00DF0EBB"/>
    <w:rsid w:val="00DF4FE7"/>
    <w:rsid w:val="00DF5992"/>
    <w:rsid w:val="00DF5E2D"/>
    <w:rsid w:val="00E03262"/>
    <w:rsid w:val="00E04DD0"/>
    <w:rsid w:val="00E067B5"/>
    <w:rsid w:val="00E1003F"/>
    <w:rsid w:val="00E115E3"/>
    <w:rsid w:val="00E119B3"/>
    <w:rsid w:val="00E15C74"/>
    <w:rsid w:val="00E167B4"/>
    <w:rsid w:val="00E1766B"/>
    <w:rsid w:val="00E20D19"/>
    <w:rsid w:val="00E21AE8"/>
    <w:rsid w:val="00E21BA0"/>
    <w:rsid w:val="00E2294E"/>
    <w:rsid w:val="00E26DFF"/>
    <w:rsid w:val="00E27264"/>
    <w:rsid w:val="00E274A8"/>
    <w:rsid w:val="00E31D80"/>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51638"/>
    <w:rsid w:val="00E51911"/>
    <w:rsid w:val="00E542BB"/>
    <w:rsid w:val="00E542EC"/>
    <w:rsid w:val="00E62AFE"/>
    <w:rsid w:val="00E63AB4"/>
    <w:rsid w:val="00E6523B"/>
    <w:rsid w:val="00E667CC"/>
    <w:rsid w:val="00E67FE6"/>
    <w:rsid w:val="00E700BF"/>
    <w:rsid w:val="00E701FA"/>
    <w:rsid w:val="00E7039D"/>
    <w:rsid w:val="00E70F16"/>
    <w:rsid w:val="00E72A42"/>
    <w:rsid w:val="00E732D1"/>
    <w:rsid w:val="00E738BD"/>
    <w:rsid w:val="00E747AF"/>
    <w:rsid w:val="00E74CAE"/>
    <w:rsid w:val="00E76693"/>
    <w:rsid w:val="00E774A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1438"/>
    <w:rsid w:val="00EA2200"/>
    <w:rsid w:val="00EA4B9A"/>
    <w:rsid w:val="00EA4CE4"/>
    <w:rsid w:val="00EA50C3"/>
    <w:rsid w:val="00EA6373"/>
    <w:rsid w:val="00EA67BB"/>
    <w:rsid w:val="00EA7449"/>
    <w:rsid w:val="00EA7DA0"/>
    <w:rsid w:val="00EB1141"/>
    <w:rsid w:val="00EB1FF1"/>
    <w:rsid w:val="00EB2464"/>
    <w:rsid w:val="00EB3E7C"/>
    <w:rsid w:val="00EB442A"/>
    <w:rsid w:val="00EB4949"/>
    <w:rsid w:val="00EB5A97"/>
    <w:rsid w:val="00EC02F1"/>
    <w:rsid w:val="00EC1D83"/>
    <w:rsid w:val="00EC2827"/>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374E"/>
    <w:rsid w:val="00F03A7E"/>
    <w:rsid w:val="00F03FA6"/>
    <w:rsid w:val="00F0701D"/>
    <w:rsid w:val="00F07F37"/>
    <w:rsid w:val="00F10DDE"/>
    <w:rsid w:val="00F11439"/>
    <w:rsid w:val="00F11BD5"/>
    <w:rsid w:val="00F13713"/>
    <w:rsid w:val="00F13ED7"/>
    <w:rsid w:val="00F14277"/>
    <w:rsid w:val="00F170BE"/>
    <w:rsid w:val="00F21B94"/>
    <w:rsid w:val="00F2369F"/>
    <w:rsid w:val="00F23BA1"/>
    <w:rsid w:val="00F240E2"/>
    <w:rsid w:val="00F25724"/>
    <w:rsid w:val="00F26DFD"/>
    <w:rsid w:val="00F27AFF"/>
    <w:rsid w:val="00F27C8E"/>
    <w:rsid w:val="00F30426"/>
    <w:rsid w:val="00F32957"/>
    <w:rsid w:val="00F34955"/>
    <w:rsid w:val="00F35BA9"/>
    <w:rsid w:val="00F40895"/>
    <w:rsid w:val="00F41946"/>
    <w:rsid w:val="00F41C23"/>
    <w:rsid w:val="00F41DF6"/>
    <w:rsid w:val="00F423C7"/>
    <w:rsid w:val="00F4249B"/>
    <w:rsid w:val="00F4271F"/>
    <w:rsid w:val="00F4278F"/>
    <w:rsid w:val="00F46205"/>
    <w:rsid w:val="00F5139E"/>
    <w:rsid w:val="00F51601"/>
    <w:rsid w:val="00F525B8"/>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A65AC"/>
    <w:rsid w:val="00FB0ADE"/>
    <w:rsid w:val="00FB253D"/>
    <w:rsid w:val="00FB3860"/>
    <w:rsid w:val="00FB3CDF"/>
    <w:rsid w:val="00FB43D3"/>
    <w:rsid w:val="00FB4EA8"/>
    <w:rsid w:val="00FB5370"/>
    <w:rsid w:val="00FB6421"/>
    <w:rsid w:val="00FC106F"/>
    <w:rsid w:val="00FC1A97"/>
    <w:rsid w:val="00FC2806"/>
    <w:rsid w:val="00FC3405"/>
    <w:rsid w:val="00FC3D88"/>
    <w:rsid w:val="00FC53AD"/>
    <w:rsid w:val="00FC630D"/>
    <w:rsid w:val="00FC6C8E"/>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F21F5"/>
    <w:rsid w:val="00FF52E6"/>
    <w:rsid w:val="00FF62FF"/>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99BEC"/>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9448">
      <w:bodyDiv w:val="1"/>
      <w:marLeft w:val="0"/>
      <w:marRight w:val="0"/>
      <w:marTop w:val="0"/>
      <w:marBottom w:val="0"/>
      <w:divBdr>
        <w:top w:val="none" w:sz="0" w:space="0" w:color="auto"/>
        <w:left w:val="none" w:sz="0" w:space="0" w:color="auto"/>
        <w:bottom w:val="none" w:sz="0" w:space="0" w:color="auto"/>
        <w:right w:val="none" w:sz="0" w:space="0" w:color="auto"/>
      </w:divBdr>
    </w:div>
    <w:div w:id="31154881">
      <w:bodyDiv w:val="1"/>
      <w:marLeft w:val="0"/>
      <w:marRight w:val="0"/>
      <w:marTop w:val="0"/>
      <w:marBottom w:val="0"/>
      <w:divBdr>
        <w:top w:val="none" w:sz="0" w:space="0" w:color="auto"/>
        <w:left w:val="none" w:sz="0" w:space="0" w:color="auto"/>
        <w:bottom w:val="none" w:sz="0" w:space="0" w:color="auto"/>
        <w:right w:val="none" w:sz="0" w:space="0" w:color="auto"/>
      </w:divBdr>
    </w:div>
    <w:div w:id="41558152">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17891">
      <w:bodyDiv w:val="1"/>
      <w:marLeft w:val="0"/>
      <w:marRight w:val="0"/>
      <w:marTop w:val="0"/>
      <w:marBottom w:val="0"/>
      <w:divBdr>
        <w:top w:val="none" w:sz="0" w:space="0" w:color="auto"/>
        <w:left w:val="none" w:sz="0" w:space="0" w:color="auto"/>
        <w:bottom w:val="none" w:sz="0" w:space="0" w:color="auto"/>
        <w:right w:val="none" w:sz="0" w:space="0" w:color="auto"/>
      </w:divBdr>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98332582">
      <w:bodyDiv w:val="1"/>
      <w:marLeft w:val="0"/>
      <w:marRight w:val="0"/>
      <w:marTop w:val="0"/>
      <w:marBottom w:val="0"/>
      <w:divBdr>
        <w:top w:val="none" w:sz="0" w:space="0" w:color="auto"/>
        <w:left w:val="none" w:sz="0" w:space="0" w:color="auto"/>
        <w:bottom w:val="none" w:sz="0" w:space="0" w:color="auto"/>
        <w:right w:val="none" w:sz="0" w:space="0" w:color="auto"/>
      </w:divBdr>
    </w:div>
    <w:div w:id="135025973">
      <w:bodyDiv w:val="1"/>
      <w:marLeft w:val="0"/>
      <w:marRight w:val="0"/>
      <w:marTop w:val="0"/>
      <w:marBottom w:val="0"/>
      <w:divBdr>
        <w:top w:val="none" w:sz="0" w:space="0" w:color="auto"/>
        <w:left w:val="none" w:sz="0" w:space="0" w:color="auto"/>
        <w:bottom w:val="none" w:sz="0" w:space="0" w:color="auto"/>
        <w:right w:val="none" w:sz="0" w:space="0" w:color="auto"/>
      </w:divBdr>
    </w:div>
    <w:div w:id="148909782">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71454287">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8009364">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32200552">
      <w:bodyDiv w:val="1"/>
      <w:marLeft w:val="0"/>
      <w:marRight w:val="0"/>
      <w:marTop w:val="0"/>
      <w:marBottom w:val="0"/>
      <w:divBdr>
        <w:top w:val="none" w:sz="0" w:space="0" w:color="auto"/>
        <w:left w:val="none" w:sz="0" w:space="0" w:color="auto"/>
        <w:bottom w:val="none" w:sz="0" w:space="0" w:color="auto"/>
        <w:right w:val="none" w:sz="0" w:space="0" w:color="auto"/>
      </w:divBdr>
    </w:div>
    <w:div w:id="240531269">
      <w:bodyDiv w:val="1"/>
      <w:marLeft w:val="0"/>
      <w:marRight w:val="0"/>
      <w:marTop w:val="0"/>
      <w:marBottom w:val="0"/>
      <w:divBdr>
        <w:top w:val="none" w:sz="0" w:space="0" w:color="auto"/>
        <w:left w:val="none" w:sz="0" w:space="0" w:color="auto"/>
        <w:bottom w:val="none" w:sz="0" w:space="0" w:color="auto"/>
        <w:right w:val="none" w:sz="0" w:space="0" w:color="auto"/>
      </w:divBdr>
    </w:div>
    <w:div w:id="242032267">
      <w:bodyDiv w:val="1"/>
      <w:marLeft w:val="0"/>
      <w:marRight w:val="0"/>
      <w:marTop w:val="0"/>
      <w:marBottom w:val="0"/>
      <w:divBdr>
        <w:top w:val="none" w:sz="0" w:space="0" w:color="auto"/>
        <w:left w:val="none" w:sz="0" w:space="0" w:color="auto"/>
        <w:bottom w:val="none" w:sz="0" w:space="0" w:color="auto"/>
        <w:right w:val="none" w:sz="0" w:space="0" w:color="auto"/>
      </w:divBdr>
    </w:div>
    <w:div w:id="246693653">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199537">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1635004">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86533712">
      <w:bodyDiv w:val="1"/>
      <w:marLeft w:val="0"/>
      <w:marRight w:val="0"/>
      <w:marTop w:val="0"/>
      <w:marBottom w:val="0"/>
      <w:divBdr>
        <w:top w:val="none" w:sz="0" w:space="0" w:color="auto"/>
        <w:left w:val="none" w:sz="0" w:space="0" w:color="auto"/>
        <w:bottom w:val="none" w:sz="0" w:space="0" w:color="auto"/>
        <w:right w:val="none" w:sz="0" w:space="0" w:color="auto"/>
      </w:divBdr>
    </w:div>
    <w:div w:id="39370033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65316766">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75954832">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584268940">
      <w:bodyDiv w:val="1"/>
      <w:marLeft w:val="0"/>
      <w:marRight w:val="0"/>
      <w:marTop w:val="0"/>
      <w:marBottom w:val="0"/>
      <w:divBdr>
        <w:top w:val="none" w:sz="0" w:space="0" w:color="auto"/>
        <w:left w:val="none" w:sz="0" w:space="0" w:color="auto"/>
        <w:bottom w:val="none" w:sz="0" w:space="0" w:color="auto"/>
        <w:right w:val="none" w:sz="0" w:space="0" w:color="auto"/>
      </w:divBdr>
    </w:div>
    <w:div w:id="601299475">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35642492">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58464275">
      <w:bodyDiv w:val="1"/>
      <w:marLeft w:val="0"/>
      <w:marRight w:val="0"/>
      <w:marTop w:val="0"/>
      <w:marBottom w:val="0"/>
      <w:divBdr>
        <w:top w:val="none" w:sz="0" w:space="0" w:color="auto"/>
        <w:left w:val="none" w:sz="0" w:space="0" w:color="auto"/>
        <w:bottom w:val="none" w:sz="0" w:space="0" w:color="auto"/>
        <w:right w:val="none" w:sz="0" w:space="0" w:color="auto"/>
      </w:divBdr>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700402152">
      <w:bodyDiv w:val="1"/>
      <w:marLeft w:val="0"/>
      <w:marRight w:val="0"/>
      <w:marTop w:val="0"/>
      <w:marBottom w:val="0"/>
      <w:divBdr>
        <w:top w:val="none" w:sz="0" w:space="0" w:color="auto"/>
        <w:left w:val="none" w:sz="0" w:space="0" w:color="auto"/>
        <w:bottom w:val="none" w:sz="0" w:space="0" w:color="auto"/>
        <w:right w:val="none" w:sz="0" w:space="0" w:color="auto"/>
      </w:divBdr>
    </w:div>
    <w:div w:id="751702089">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796342236">
      <w:bodyDiv w:val="1"/>
      <w:marLeft w:val="0"/>
      <w:marRight w:val="0"/>
      <w:marTop w:val="0"/>
      <w:marBottom w:val="0"/>
      <w:divBdr>
        <w:top w:val="none" w:sz="0" w:space="0" w:color="auto"/>
        <w:left w:val="none" w:sz="0" w:space="0" w:color="auto"/>
        <w:bottom w:val="none" w:sz="0" w:space="0" w:color="auto"/>
        <w:right w:val="none" w:sz="0" w:space="0" w:color="auto"/>
      </w:divBdr>
    </w:div>
    <w:div w:id="798257459">
      <w:bodyDiv w:val="1"/>
      <w:marLeft w:val="0"/>
      <w:marRight w:val="0"/>
      <w:marTop w:val="0"/>
      <w:marBottom w:val="0"/>
      <w:divBdr>
        <w:top w:val="none" w:sz="0" w:space="0" w:color="auto"/>
        <w:left w:val="none" w:sz="0" w:space="0" w:color="auto"/>
        <w:bottom w:val="none" w:sz="0" w:space="0" w:color="auto"/>
        <w:right w:val="none" w:sz="0" w:space="0" w:color="auto"/>
      </w:divBdr>
    </w:div>
    <w:div w:id="813789971">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90116639">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959141688">
      <w:bodyDiv w:val="1"/>
      <w:marLeft w:val="0"/>
      <w:marRight w:val="0"/>
      <w:marTop w:val="0"/>
      <w:marBottom w:val="0"/>
      <w:divBdr>
        <w:top w:val="none" w:sz="0" w:space="0" w:color="auto"/>
        <w:left w:val="none" w:sz="0" w:space="0" w:color="auto"/>
        <w:bottom w:val="none" w:sz="0" w:space="0" w:color="auto"/>
        <w:right w:val="none" w:sz="0" w:space="0" w:color="auto"/>
      </w:divBdr>
    </w:div>
    <w:div w:id="965086606">
      <w:bodyDiv w:val="1"/>
      <w:marLeft w:val="0"/>
      <w:marRight w:val="0"/>
      <w:marTop w:val="0"/>
      <w:marBottom w:val="0"/>
      <w:divBdr>
        <w:top w:val="none" w:sz="0" w:space="0" w:color="auto"/>
        <w:left w:val="none" w:sz="0" w:space="0" w:color="auto"/>
        <w:bottom w:val="none" w:sz="0" w:space="0" w:color="auto"/>
        <w:right w:val="none" w:sz="0" w:space="0" w:color="auto"/>
      </w:divBdr>
    </w:div>
    <w:div w:id="1007637456">
      <w:bodyDiv w:val="1"/>
      <w:marLeft w:val="0"/>
      <w:marRight w:val="0"/>
      <w:marTop w:val="0"/>
      <w:marBottom w:val="0"/>
      <w:divBdr>
        <w:top w:val="none" w:sz="0" w:space="0" w:color="auto"/>
        <w:left w:val="none" w:sz="0" w:space="0" w:color="auto"/>
        <w:bottom w:val="none" w:sz="0" w:space="0" w:color="auto"/>
        <w:right w:val="none" w:sz="0" w:space="0" w:color="auto"/>
      </w:divBdr>
    </w:div>
    <w:div w:id="1014965511">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119227635">
      <w:bodyDiv w:val="1"/>
      <w:marLeft w:val="0"/>
      <w:marRight w:val="0"/>
      <w:marTop w:val="0"/>
      <w:marBottom w:val="0"/>
      <w:divBdr>
        <w:top w:val="none" w:sz="0" w:space="0" w:color="auto"/>
        <w:left w:val="none" w:sz="0" w:space="0" w:color="auto"/>
        <w:bottom w:val="none" w:sz="0" w:space="0" w:color="auto"/>
        <w:right w:val="none" w:sz="0" w:space="0" w:color="auto"/>
      </w:divBdr>
    </w:div>
    <w:div w:id="1130129405">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36601339">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242913539">
      <w:bodyDiv w:val="1"/>
      <w:marLeft w:val="0"/>
      <w:marRight w:val="0"/>
      <w:marTop w:val="0"/>
      <w:marBottom w:val="0"/>
      <w:divBdr>
        <w:top w:val="none" w:sz="0" w:space="0" w:color="auto"/>
        <w:left w:val="none" w:sz="0" w:space="0" w:color="auto"/>
        <w:bottom w:val="none" w:sz="0" w:space="0" w:color="auto"/>
        <w:right w:val="none" w:sz="0" w:space="0" w:color="auto"/>
      </w:divBdr>
    </w:div>
    <w:div w:id="1256472211">
      <w:bodyDiv w:val="1"/>
      <w:marLeft w:val="0"/>
      <w:marRight w:val="0"/>
      <w:marTop w:val="0"/>
      <w:marBottom w:val="0"/>
      <w:divBdr>
        <w:top w:val="none" w:sz="0" w:space="0" w:color="auto"/>
        <w:left w:val="none" w:sz="0" w:space="0" w:color="auto"/>
        <w:bottom w:val="none" w:sz="0" w:space="0" w:color="auto"/>
        <w:right w:val="none" w:sz="0" w:space="0" w:color="auto"/>
      </w:divBdr>
    </w:div>
    <w:div w:id="1256481149">
      <w:bodyDiv w:val="1"/>
      <w:marLeft w:val="0"/>
      <w:marRight w:val="0"/>
      <w:marTop w:val="0"/>
      <w:marBottom w:val="0"/>
      <w:divBdr>
        <w:top w:val="none" w:sz="0" w:space="0" w:color="auto"/>
        <w:left w:val="none" w:sz="0" w:space="0" w:color="auto"/>
        <w:bottom w:val="none" w:sz="0" w:space="0" w:color="auto"/>
        <w:right w:val="none" w:sz="0" w:space="0" w:color="auto"/>
      </w:divBdr>
    </w:div>
    <w:div w:id="1289967037">
      <w:bodyDiv w:val="1"/>
      <w:marLeft w:val="0"/>
      <w:marRight w:val="0"/>
      <w:marTop w:val="0"/>
      <w:marBottom w:val="0"/>
      <w:divBdr>
        <w:top w:val="none" w:sz="0" w:space="0" w:color="auto"/>
        <w:left w:val="none" w:sz="0" w:space="0" w:color="auto"/>
        <w:bottom w:val="none" w:sz="0" w:space="0" w:color="auto"/>
        <w:right w:val="none" w:sz="0" w:space="0" w:color="auto"/>
      </w:divBdr>
    </w:div>
    <w:div w:id="1298798973">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23658056">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57660709">
      <w:bodyDiv w:val="1"/>
      <w:marLeft w:val="0"/>
      <w:marRight w:val="0"/>
      <w:marTop w:val="0"/>
      <w:marBottom w:val="0"/>
      <w:divBdr>
        <w:top w:val="none" w:sz="0" w:space="0" w:color="auto"/>
        <w:left w:val="none" w:sz="0" w:space="0" w:color="auto"/>
        <w:bottom w:val="none" w:sz="0" w:space="0" w:color="auto"/>
        <w:right w:val="none" w:sz="0" w:space="0" w:color="auto"/>
      </w:divBdr>
    </w:div>
    <w:div w:id="136629526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378895156">
      <w:bodyDiv w:val="1"/>
      <w:marLeft w:val="0"/>
      <w:marRight w:val="0"/>
      <w:marTop w:val="0"/>
      <w:marBottom w:val="0"/>
      <w:divBdr>
        <w:top w:val="none" w:sz="0" w:space="0" w:color="auto"/>
        <w:left w:val="none" w:sz="0" w:space="0" w:color="auto"/>
        <w:bottom w:val="none" w:sz="0" w:space="0" w:color="auto"/>
        <w:right w:val="none" w:sz="0" w:space="0" w:color="auto"/>
      </w:divBdr>
    </w:div>
    <w:div w:id="1384796726">
      <w:bodyDiv w:val="1"/>
      <w:marLeft w:val="0"/>
      <w:marRight w:val="0"/>
      <w:marTop w:val="0"/>
      <w:marBottom w:val="0"/>
      <w:divBdr>
        <w:top w:val="none" w:sz="0" w:space="0" w:color="auto"/>
        <w:left w:val="none" w:sz="0" w:space="0" w:color="auto"/>
        <w:bottom w:val="none" w:sz="0" w:space="0" w:color="auto"/>
        <w:right w:val="none" w:sz="0" w:space="0" w:color="auto"/>
      </w:divBdr>
    </w:div>
    <w:div w:id="1385520462">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00389440">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45020829">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3232209">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67185462">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32594526">
      <w:bodyDiv w:val="1"/>
      <w:marLeft w:val="0"/>
      <w:marRight w:val="0"/>
      <w:marTop w:val="0"/>
      <w:marBottom w:val="0"/>
      <w:divBdr>
        <w:top w:val="none" w:sz="0" w:space="0" w:color="auto"/>
        <w:left w:val="none" w:sz="0" w:space="0" w:color="auto"/>
        <w:bottom w:val="none" w:sz="0" w:space="0" w:color="auto"/>
        <w:right w:val="none" w:sz="0" w:space="0" w:color="auto"/>
      </w:divBdr>
    </w:div>
    <w:div w:id="1639336897">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76559547">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801723256">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00549973">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2079521">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80333707">
      <w:bodyDiv w:val="1"/>
      <w:marLeft w:val="0"/>
      <w:marRight w:val="0"/>
      <w:marTop w:val="0"/>
      <w:marBottom w:val="0"/>
      <w:divBdr>
        <w:top w:val="none" w:sz="0" w:space="0" w:color="auto"/>
        <w:left w:val="none" w:sz="0" w:space="0" w:color="auto"/>
        <w:bottom w:val="none" w:sz="0" w:space="0" w:color="auto"/>
        <w:right w:val="none" w:sz="0" w:space="0" w:color="auto"/>
      </w:divBdr>
    </w:div>
    <w:div w:id="1990938988">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066833936">
      <w:bodyDiv w:val="1"/>
      <w:marLeft w:val="0"/>
      <w:marRight w:val="0"/>
      <w:marTop w:val="0"/>
      <w:marBottom w:val="0"/>
      <w:divBdr>
        <w:top w:val="none" w:sz="0" w:space="0" w:color="auto"/>
        <w:left w:val="none" w:sz="0" w:space="0" w:color="auto"/>
        <w:bottom w:val="none" w:sz="0" w:space="0" w:color="auto"/>
        <w:right w:val="none" w:sz="0" w:space="0" w:color="auto"/>
      </w:divBdr>
    </w:div>
    <w:div w:id="2092241345">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31300-7157-4338-88AE-4CB4D60B8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2025-05-12T12:56:00Z</dcterms:created>
  <dcterms:modified xsi:type="dcterms:W3CDTF">2025-05-12T12:56:00Z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